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3D" w:rsidRPr="00EB243D" w:rsidRDefault="00EB243D" w:rsidP="00EB243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24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ЗАТВЕРДЖЕНО</w:t>
      </w:r>
    </w:p>
    <w:p w:rsidR="00EB243D" w:rsidRDefault="00EB243D" w:rsidP="00EB243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</w:t>
      </w: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Тернопільського</w:t>
      </w:r>
    </w:p>
    <w:p w:rsidR="00EB243D" w:rsidRDefault="00EB243D" w:rsidP="00EB243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окружного адміністративного суду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75DEC" w:rsidRPr="00EB243D" w:rsidRDefault="00EB243D" w:rsidP="00EB243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B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-ОД/г</w:t>
      </w:r>
    </w:p>
    <w:p w:rsidR="00186F9E" w:rsidRDefault="00186F9E" w:rsidP="00EB24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B243D" w:rsidRDefault="00475DEC" w:rsidP="00EB2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Комунікаційна стратегія</w:t>
      </w:r>
    </w:p>
    <w:p w:rsidR="00EB243D" w:rsidRDefault="00475DEC" w:rsidP="00EB2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Тернопільського окружного адміністративного суду на 20</w:t>
      </w:r>
      <w:r w:rsidRPr="002927C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9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EB243D" w:rsidRDefault="00EB243D" w:rsidP="00EB24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DEC" w:rsidRPr="00EB243D" w:rsidRDefault="00EB243D" w:rsidP="00EB24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475DEC" w:rsidRPr="00EB2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 </w:t>
      </w:r>
    </w:p>
    <w:p w:rsidR="00EB243D" w:rsidRDefault="00853F21" w:rsidP="00EB24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Основним документом за яким здійснюється зовнішня та внутрішня комунікація Тернопільського окружного адміністративного суду є стратегія комунікаційної діяльності суду.  Вона включає а себе комплекс комунікативних прийомів , засобів та методів, що направлені надавати об’єктивну інформацію щодо діяльності суду та суддів . Це дає змогу підтримувати постійний діалог із громадянами задля забезпечення незалежності судової влади, гарантування законності та правопорядку та </w:t>
      </w:r>
      <w:r w:rsidR="00967052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для об’єктивного та неупередженого здійснення правосуддя. </w:t>
      </w:r>
    </w:p>
    <w:p w:rsidR="00EB243D" w:rsidRDefault="0011135D" w:rsidP="00EB24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концепції комунікації судової влади України розроблена </w:t>
      </w:r>
      <w:r w:rsidR="007D3C67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комунікаційна стратегія Тернопільського окружного адміністративного суду.</w:t>
      </w:r>
    </w:p>
    <w:p w:rsidR="0011135D" w:rsidRDefault="0011135D" w:rsidP="00EB24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Зміст і структура стратегії визначена цілями правосуддя та завданнями суду і заснована на нормах Конституції України, Законів України «Про судоустрій і статус суддів», </w:t>
      </w:r>
      <w:r w:rsidR="007D3C67" w:rsidRPr="002927C7">
        <w:rPr>
          <w:rFonts w:ascii="Times New Roman" w:hAnsi="Times New Roman" w:cs="Times New Roman"/>
          <w:sz w:val="28"/>
          <w:szCs w:val="28"/>
          <w:lang w:val="uk-UA"/>
        </w:rPr>
        <w:t>Кодексі судової етики, Мадридських принципах щодо зв’язку між засобами масової інформації та суддівською незалежністю, інших національних і міжнародних актах, що регулюють діяльність в цій сфері .</w:t>
      </w:r>
    </w:p>
    <w:p w:rsidR="00EB243D" w:rsidRPr="002927C7" w:rsidRDefault="00EB243D" w:rsidP="00EB24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43D" w:rsidRDefault="00475DEC" w:rsidP="00EB24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F71A1F" w:rsidRPr="0029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а</w:t>
      </w: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наліз</w:t>
      </w:r>
      <w:r w:rsidR="00F71A1F" w:rsidRPr="002927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стану комунікаційної діяльності </w:t>
      </w:r>
      <w:r w:rsidR="00CB2973" w:rsidRPr="002927C7">
        <w:rPr>
          <w:rFonts w:ascii="Times New Roman" w:hAnsi="Times New Roman" w:cs="Times New Roman"/>
          <w:b/>
          <w:sz w:val="28"/>
          <w:szCs w:val="28"/>
          <w:lang w:val="uk-UA"/>
        </w:rPr>
        <w:t>суду</w:t>
      </w:r>
    </w:p>
    <w:p w:rsidR="00EB243D" w:rsidRDefault="00CB2973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03F92" w:rsidRPr="002927C7">
        <w:rPr>
          <w:rFonts w:ascii="Times New Roman" w:hAnsi="Times New Roman" w:cs="Times New Roman"/>
          <w:sz w:val="28"/>
          <w:szCs w:val="28"/>
          <w:lang w:val="uk-UA"/>
        </w:rPr>
        <w:t>уд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F92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має певний досвід щодо здійснення зовнішньої та внутрішньої комунікаційної діяльності. 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Це стало можливим з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авдяки впровадженню сучасних інформаційних технологій ведення внутрішнього документообігу, управління апаратом та донесення інформації про діяльність суду до широкого кола громадськості через офіційний веб-сайт ТОАС </w:t>
      </w:r>
      <w:hyperlink r:id="rId6" w:history="1">
        <w:r w:rsidR="00475DEC" w:rsidRPr="002927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http://adm.te.court.gov.ua/sud1970/</w:t>
        </w:r>
      </w:hyperlink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та офіційну сторінку в соціальній мережі </w:t>
      </w:r>
      <w:r w:rsidR="00475DEC" w:rsidRPr="002927C7">
        <w:rPr>
          <w:rFonts w:ascii="Times New Roman" w:hAnsi="Times New Roman" w:cs="Times New Roman"/>
          <w:sz w:val="28"/>
          <w:szCs w:val="28"/>
        </w:rPr>
        <w:t>Facebook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43D" w:rsidRDefault="007D3C67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З метою налагодження належних відноси</w:t>
      </w:r>
      <w:r w:rsidR="00463CD9" w:rsidRPr="002927C7">
        <w:rPr>
          <w:rFonts w:ascii="Times New Roman" w:hAnsi="Times New Roman" w:cs="Times New Roman"/>
          <w:sz w:val="28"/>
          <w:szCs w:val="28"/>
          <w:lang w:val="uk-UA"/>
        </w:rPr>
        <w:t>н  судової влади та суспільства,</w:t>
      </w:r>
      <w:r w:rsidR="00EB2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3CD9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більш глибшого висвітлення діяльності суду у засобах масової інформації, забезпечення авторитету правосуддя , зростання довіри </w:t>
      </w:r>
      <w:proofErr w:type="spellStart"/>
      <w:r w:rsidR="00463CD9" w:rsidRPr="002927C7">
        <w:rPr>
          <w:rFonts w:ascii="Times New Roman" w:hAnsi="Times New Roman" w:cs="Times New Roman"/>
          <w:sz w:val="28"/>
          <w:szCs w:val="28"/>
          <w:lang w:val="uk-UA"/>
        </w:rPr>
        <w:t>довіри</w:t>
      </w:r>
      <w:proofErr w:type="spellEnd"/>
      <w:r w:rsidR="00463CD9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до судової влади  та підвищення обізнаності населення про діяльність суду у структурі апарату передбачено посаду прес-секретаря.</w:t>
      </w:r>
    </w:p>
    <w:p w:rsidR="00EB243D" w:rsidRDefault="00475DEC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lastRenderedPageBreak/>
        <w:t xml:space="preserve">Прес-секретар виконує </w:t>
      </w:r>
      <w:r w:rsidR="00A504B6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функції інформування громадян щодо діяльності суду</w:t>
      </w: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</w:t>
      </w:r>
      <w:r w:rsidR="00A504B6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шляхом щ</w:t>
      </w: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оденно</w:t>
      </w:r>
      <w:r w:rsidR="00A504B6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го висвітлення </w:t>
      </w: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на офі</w:t>
      </w:r>
      <w:r w:rsidR="00A504B6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ційних </w:t>
      </w: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</w:t>
      </w:r>
      <w:r w:rsidR="00CC2624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веб-сторінках </w:t>
      </w: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ТОАС </w:t>
      </w:r>
      <w:r w:rsidR="00A504B6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головних</w:t>
      </w: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події, які відбуваються не тільки в житті суду, а й у правовому житті держави, про заходи, які проводяться в ТОАС, а також, ті, в яких беруть участь судді та працівники апарату. Прес-секретар опрацьовує в установленому порядку запити та звернення представників ЗМІ, забезпечує підготовку і поширення матеріалів про діяльність ТОАС у ЗМІ, направляє у відповідні видання офіційні заяви, спростування, роз’яснення у зв’язку з публікаціями про діяльність ТОАС.</w:t>
      </w:r>
    </w:p>
    <w:p w:rsidR="00EB243D" w:rsidRDefault="00CC2624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Також, зборами суддів Тернопільського окружного адміністративного суду обирається суддя-спікер з метою висвітлення офіційної позиції від імені суду та надання професійних коментарів щодо розгляду справ у суді. Висвітлення інформації щодо діяльності суду для суспільства, суддя-спікер проводить у доступний спосіб, без перешкод для здійснення правосуддя з дотриманням етичних норм та не порушуючи права осіб.</w:t>
      </w:r>
    </w:p>
    <w:p w:rsidR="00EB243D" w:rsidRDefault="00475DEC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ТОАС використовує автоматизований цикл ведення діловодства та проходження судових справ, в якому враховано передовий досвід судового адміністрування, кадрової політики та організації роботи. </w:t>
      </w:r>
    </w:p>
    <w:p w:rsidR="00EB243D" w:rsidRDefault="00475DEC" w:rsidP="00EB243D">
      <w:pPr>
        <w:spacing w:after="0"/>
        <w:ind w:firstLine="567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Тернопільський окружний адміністративний суд оснащений інформаційними стендами, за допомогою яких відвідувачі мають змогу ознайомитись з переліками справ, призначених до розгляду, зразками документів, ставками судового збору, платіжними реквізитами, графіком особистого прийому громадян керівництвом ТОАС.</w:t>
      </w:r>
    </w:p>
    <w:p w:rsidR="00EB243D" w:rsidRDefault="00475DEC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Тернопільський окружний адміністративний суд веде планову та системну комунікаційну діяльність у таких напрямках: </w:t>
      </w:r>
    </w:p>
    <w:p w:rsidR="00EB243D" w:rsidRDefault="00EB243D" w:rsidP="00EB24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- </w:t>
      </w:r>
      <w:r w:rsidR="00475DEC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внутрішній – робота над вдосконаленням комунікативних та професійних навиків суддів та працівників  апарату ТОАС , з метою забезпечення інформаційної насиченості суду та  підвищення комфортності для відвідувачів і роботи працівників ТОАС здійснюється  облаштування приміщення ТОАС ;</w:t>
      </w:r>
    </w:p>
    <w:p w:rsidR="00EB243D" w:rsidRPr="00EB243D" w:rsidRDefault="00EB243D" w:rsidP="00EB243D">
      <w:pPr>
        <w:spacing w:after="0"/>
        <w:ind w:firstLine="567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75DEC" w:rsidRPr="002927C7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зовнішній – ТОАС інформує громадськість  про свою  роботу, налагоджує постійний зацікавлений діалог з громадськістю та ЗМІ, залучає студентів та молодих фахівців пройти практику та стажування в ТОАС, тощо. </w:t>
      </w:r>
    </w:p>
    <w:p w:rsidR="00EB243D" w:rsidRDefault="00475DEC" w:rsidP="00EB24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r w:rsidRPr="00EB243D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Голова  суду та інші судді активно беруть участь у міжнародних конференціях з питань адміністративного права та процесу, сприяють вдосконаленню та реформуванню норм чинного законодавства, а також активно долучаються до  реформування системи правосуддя в Україні. Таким чином, ТОАС задіяний у міжнародних проектах реформування та вдосконалення організаційної структури роботи суду та працівників апарату.</w:t>
      </w:r>
    </w:p>
    <w:p w:rsidR="00EB243D" w:rsidRPr="00EB243D" w:rsidRDefault="00AB580E" w:rsidP="00EB243D">
      <w:pPr>
        <w:spacing w:after="0" w:line="240" w:lineRule="auto"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</w:pPr>
      <w:r w:rsidRPr="002927C7"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  <w:lastRenderedPageBreak/>
        <w:t>3</w:t>
      </w:r>
      <w:r w:rsidR="00475DEC" w:rsidRPr="002927C7"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  <w:t xml:space="preserve">. Стан зв’язків із громадськістю </w:t>
      </w:r>
    </w:p>
    <w:p w:rsidR="00EB243D" w:rsidRDefault="00475DEC" w:rsidP="00EB243D">
      <w:pPr>
        <w:spacing w:after="0"/>
        <w:ind w:firstLine="567"/>
        <w:jc w:val="both"/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ТОАС епізодично співпрацює з місцевими представниками ЗМІ, це завдання входить до повноваження прес-секретаря. Час від часу висвітлюються питання організації роботи суду, правової просвіти, діяльності суддів, розгляду справ, які набирають резонансного значення.</w:t>
      </w:r>
    </w:p>
    <w:p w:rsidR="00EB243D" w:rsidRDefault="00D1442E" w:rsidP="00EB243D">
      <w:pPr>
        <w:spacing w:after="0"/>
        <w:ind w:firstLine="567"/>
        <w:jc w:val="both"/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Суд систематично 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оновлює матеріали на своїй сторінці веб-порталу “Судова влада України ” та офіційній сторінці у соціальній мережі </w:t>
      </w:r>
      <w:r w:rsidR="00475DEC" w:rsidRPr="002927C7">
        <w:rPr>
          <w:rFonts w:ascii="Times New Roman" w:hAnsi="Times New Roman" w:cs="Times New Roman"/>
          <w:sz w:val="28"/>
          <w:szCs w:val="28"/>
        </w:rPr>
        <w:t>Facebook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43D" w:rsidRDefault="00475DEC" w:rsidP="00EB243D">
      <w:pPr>
        <w:spacing w:after="0"/>
        <w:ind w:firstLine="567"/>
        <w:jc w:val="both"/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Тернопільський окружний адміністративний суд постійно організовує зустрічі з різними правозахисними організаціями, професійними аудиторіями, студентами, веде інформаційно-просвітницьку роботу з громадськістю в яких беруть участь судді та працівники апарату суду. При виникненні потреби – організовуються зустрічі з актуальними цільовими аудиторіями. </w:t>
      </w:r>
    </w:p>
    <w:p w:rsidR="00EB243D" w:rsidRPr="00EB243D" w:rsidRDefault="00EB243D" w:rsidP="00EB243D">
      <w:pPr>
        <w:spacing w:after="0"/>
        <w:ind w:firstLine="567"/>
        <w:jc w:val="both"/>
        <w:rPr>
          <w:rFonts w:ascii="Times New Roman" w:hAnsi="Times New Roman" w:cs="Times New Roman"/>
          <w:b/>
          <w:color w:val="2A2928"/>
          <w:sz w:val="28"/>
          <w:szCs w:val="28"/>
          <w:shd w:val="clear" w:color="auto" w:fill="FFFFFF"/>
          <w:lang w:val="uk-UA"/>
        </w:rPr>
      </w:pPr>
    </w:p>
    <w:p w:rsidR="00EB243D" w:rsidRDefault="00501C6F" w:rsidP="00EB243D">
      <w:pPr>
        <w:tabs>
          <w:tab w:val="left" w:pos="46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75DEC" w:rsidRPr="002927C7">
        <w:rPr>
          <w:rFonts w:ascii="Times New Roman" w:hAnsi="Times New Roman" w:cs="Times New Roman"/>
          <w:b/>
          <w:sz w:val="28"/>
          <w:szCs w:val="28"/>
          <w:lang w:val="uk-UA"/>
        </w:rPr>
        <w:t>. Мета і основні цілі комунікаційної стратегії</w:t>
      </w:r>
    </w:p>
    <w:p w:rsidR="00EB243D" w:rsidRDefault="00D1442E" w:rsidP="00EB243D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Формування довіри громадян до системи судочинства в Україні , як ланки системи і, загалом, підвищення авторитету судової влади в суспільстві є метою комунікаційної стратегії ТОАС.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Основні цілі комунікаційної стратегії: 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підвищення рівня авторитету та довіри суспільства до судової влади, забезпечення її прозорої діяльності;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запевнення  об’ємної кількості населення у вагомості їхньої  підтримки у діяльності суддів в  здійсненні об’єктивного, незацікавленого, незалежного та справедливого правосуддя;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підтримка стосунків між членами суддівського корпусу, сприяння в обміні інформацією між ними та організації спільної комунікаційної діяльності за межами судової влади;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підвищення рівня компетентності населення регіону щодо своєрідності, специфічності і змісту діяльності суду;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підвищення авторитету суддів та працівника апарату суду в суспільстві;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покращення відносин зі ЗМІ, лідерами громадської думки, громадськими організаціями, органами державної влади і місцевого самоврядування в інтересах побудови правової держави;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підвищення рівня освіти населення в правовому полі, надання більш широкої  наповнюваності інформацією   громадян про шляхи забезпечення їх конституційних прав та необхідність дотримання ними конституційних обов’язків;</w:t>
      </w:r>
    </w:p>
    <w:p w:rsidR="00186F9E" w:rsidRDefault="00475DEC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- підвищення престижу роботи суді, профорієнтація молоді.</w:t>
      </w:r>
    </w:p>
    <w:p w:rsidR="00186F9E" w:rsidRDefault="00501C6F" w:rsidP="00186F9E">
      <w:pPr>
        <w:tabs>
          <w:tab w:val="left" w:pos="46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475DEC" w:rsidRPr="002927C7">
        <w:rPr>
          <w:rFonts w:ascii="Times New Roman" w:hAnsi="Times New Roman" w:cs="Times New Roman"/>
          <w:b/>
          <w:sz w:val="28"/>
          <w:szCs w:val="28"/>
          <w:lang w:val="uk-UA"/>
        </w:rPr>
        <w:t>. Цільові аудиторії ТОАС</w:t>
      </w:r>
    </w:p>
    <w:p w:rsidR="00186F9E" w:rsidRDefault="001A5DCB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Цільовими аудиторіями  суду, в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ідповідно до цілей та актуальних проблем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475DEC" w:rsidRPr="00186F9E" w:rsidRDefault="00186F9E" w:rsidP="00186F9E">
      <w:pPr>
        <w:tabs>
          <w:tab w:val="left" w:pos="466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нутрішні: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професійні судді;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судді – члени громадських об</w:t>
      </w:r>
      <w:r w:rsidRPr="002927C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єднань суддів;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судді у відставці;</w:t>
      </w:r>
    </w:p>
    <w:p w:rsidR="00186F9E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працівників судів.</w:t>
      </w:r>
    </w:p>
    <w:p w:rsidR="00475DEC" w:rsidRPr="00186F9E" w:rsidRDefault="00186F9E" w:rsidP="00186F9E">
      <w:pPr>
        <w:tabs>
          <w:tab w:val="left" w:pos="-5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75DEC" w:rsidRPr="00186F9E">
        <w:rPr>
          <w:rFonts w:ascii="Times New Roman" w:hAnsi="Times New Roman" w:cs="Times New Roman"/>
          <w:sz w:val="28"/>
          <w:szCs w:val="28"/>
          <w:lang w:val="uk-UA"/>
        </w:rPr>
        <w:t xml:space="preserve">овнішні: </w:t>
      </w:r>
      <w:r w:rsidR="00475DEC" w:rsidRPr="00186F9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громадяни, які часто звертаються до суду (громадяни, які мають статус </w:t>
      </w:r>
      <w:r w:rsidRPr="002927C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діти війни</w:t>
      </w:r>
      <w:r w:rsidRPr="002927C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, ліквідатори катастрофи на ЧАЕС);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відвідувачі суду;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професійні організації, інтереси яких вирішуються у судовому порядку, наприклад, представ малого та середнього бізнесу тощо;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правозахисні організації;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посадові особи виконавчої влади;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посадові особи органів місцевої влади;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науково-експертне середовище; 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студентство;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школярі загальноосвітніх шкіл та інтернатів;</w:t>
      </w:r>
    </w:p>
    <w:p w:rsidR="00475DEC" w:rsidRPr="002927C7" w:rsidRDefault="00475DEC" w:rsidP="00475DEC">
      <w:pPr>
        <w:numPr>
          <w:ilvl w:val="0"/>
          <w:numId w:val="3"/>
        </w:num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працівники ЗМІ.</w:t>
      </w:r>
    </w:p>
    <w:p w:rsidR="00186F9E" w:rsidRDefault="00186F9E" w:rsidP="00475DEC">
      <w:pPr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F9E" w:rsidRDefault="001A5DCB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ервинною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для ТОАС є зовнішня цільова аудиторія, оскільки саме вона сприяє досягненню основних цілей комунікаційної стратегії суду.</w:t>
      </w:r>
    </w:p>
    <w:p w:rsidR="00186F9E" w:rsidRDefault="00186F9E" w:rsidP="00186F9E">
      <w:pPr>
        <w:tabs>
          <w:tab w:val="left" w:pos="-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F9E" w:rsidRPr="00186F9E" w:rsidRDefault="00501C6F" w:rsidP="00186F9E">
      <w:pPr>
        <w:tabs>
          <w:tab w:val="left" w:pos="-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75DEC" w:rsidRPr="002927C7">
        <w:rPr>
          <w:rFonts w:ascii="Times New Roman" w:hAnsi="Times New Roman" w:cs="Times New Roman"/>
          <w:b/>
          <w:sz w:val="28"/>
          <w:szCs w:val="28"/>
          <w:lang w:val="uk-UA"/>
        </w:rPr>
        <w:t>. Форми і засоби комунікації з цільовими аудиторіями.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Коли виникає питання вибору каналів зв’язку із цільовою аудиторією обов’язково звернути  увагу на специфіку кожної окремої групи.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При виборі засобів комунікації із громадянами, слід відмітити, що ця групи є найбільш масштабною та різносторонньою, тому краще, було б обрати канали, які є більш численними, та доступними широкому загалу.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Канали зв</w:t>
      </w:r>
      <w:r w:rsidRPr="002927C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2927C7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із громадськістю: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1) проведення опитування громадської думки;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2) випуск друкованої продукції (буклети, брошури тощо);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3) надання інформації через веб-сайт ТОАС;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4) розповсюдження інформації через офіційну сторін ТОАС у соціальній мережі </w:t>
      </w:r>
      <w:r w:rsidRPr="002927C7">
        <w:rPr>
          <w:rFonts w:ascii="Times New Roman" w:hAnsi="Times New Roman" w:cs="Times New Roman"/>
          <w:sz w:val="28"/>
          <w:szCs w:val="28"/>
        </w:rPr>
        <w:t>Facebook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5) розміщення інформації на інформаційних стендах у приміщень ТОАС.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Обрання каналів комунікації ТОАС із представниками ЗМІ важливо врахувати, що ця група є більш вузько спеціалізованою, та деякі представника ЗМІ працюють лише з правничими темами.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Каналами комунікації із ЗМІ можу бути обрано: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1) спеціалізовані навчальні  заходи, тематичні семінари для профільних представників преси;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2) прес-тури для журналістів (дні відкритих дверей);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3) надання інформації через веб-сайт ТОАС;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4) надання інформації через офіційну сторінку в соціальній мережі </w:t>
      </w:r>
      <w:r w:rsidRPr="002927C7">
        <w:rPr>
          <w:rFonts w:ascii="Times New Roman" w:hAnsi="Times New Roman" w:cs="Times New Roman"/>
          <w:sz w:val="28"/>
          <w:szCs w:val="28"/>
        </w:rPr>
        <w:t>Facebook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2927C7">
        <w:rPr>
          <w:rFonts w:ascii="Times New Roman" w:hAnsi="Times New Roman" w:cs="Times New Roman"/>
          <w:sz w:val="28"/>
          <w:szCs w:val="28"/>
          <w:lang w:val="uk-UA"/>
        </w:rPr>
        <w:t>розсилання інформації про діяльність ТОАС безпосередньо у ЗМІ;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6) організація інтерв’ю з керівництвом ТОАС.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Щодо засобів зв’язку із студентами юридичних спеціальностей, обов’язково звернути увагу, що основною метою співпраці з цією ланкою є поширення популярності роботи в суді з метою формування майбутнього високопрофесійного персоналу. Добір комунікації необхідно здійснювати з наданням переваги таким освітнім заходам: 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зустрічі, обговорення тем, безпосередньо пов’язаних із діяльністю судів;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залучення студентів до заходів, що проводяться у ТОАС;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475DEC" w:rsidRPr="002927C7">
        <w:rPr>
          <w:rFonts w:ascii="Times New Roman" w:hAnsi="Times New Roman" w:cs="Times New Roman"/>
          <w:sz w:val="28"/>
          <w:szCs w:val="28"/>
          <w:lang w:val="uk-UA"/>
        </w:rPr>
        <w:t>сприяння організації проходження практики студентами юридичних спеціальностей у ТОАС.</w:t>
      </w:r>
    </w:p>
    <w:p w:rsidR="00186F9E" w:rsidRDefault="00186F9E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Каналами комунікації із представниками </w:t>
      </w:r>
      <w:proofErr w:type="spellStart"/>
      <w:r w:rsidRPr="002927C7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2927C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2927C7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владних повноважень можуть бути: 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1) надання інформації через веб-сайт ТОАС;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2) обмін інформацією шляхом офіційного листування;</w:t>
      </w:r>
    </w:p>
    <w:p w:rsidR="00186F9E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>3) підготовка висновків та пропозиції до законопроектів;</w:t>
      </w:r>
    </w:p>
    <w:p w:rsidR="00475DEC" w:rsidRPr="002927C7" w:rsidRDefault="00475DEC" w:rsidP="00186F9E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4) залучення </w:t>
      </w:r>
      <w:proofErr w:type="spellStart"/>
      <w:r w:rsidRPr="002927C7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2927C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2927C7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2927C7">
        <w:rPr>
          <w:rFonts w:ascii="Times New Roman" w:hAnsi="Times New Roman" w:cs="Times New Roman"/>
          <w:sz w:val="28"/>
          <w:szCs w:val="28"/>
          <w:lang w:val="uk-UA"/>
        </w:rPr>
        <w:t xml:space="preserve"> владних повноважень до заходів, що проводяться в ТОАС.</w:t>
      </w:r>
    </w:p>
    <w:p w:rsidR="00475DEC" w:rsidRDefault="00475DEC" w:rsidP="00475DEC">
      <w:pPr>
        <w:rPr>
          <w:sz w:val="28"/>
          <w:szCs w:val="28"/>
          <w:lang w:val="uk-UA"/>
        </w:rPr>
        <w:sectPr w:rsidR="00475DEC">
          <w:pgSz w:w="11906" w:h="16838"/>
          <w:pgMar w:top="1134" w:right="851" w:bottom="1134" w:left="1701" w:header="709" w:footer="709" w:gutter="0"/>
          <w:cols w:space="720"/>
        </w:sectPr>
      </w:pPr>
    </w:p>
    <w:p w:rsidR="00475DEC" w:rsidRDefault="00501C6F" w:rsidP="00475DEC">
      <w:pPr>
        <w:tabs>
          <w:tab w:val="left" w:pos="466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</w:t>
      </w:r>
      <w:r w:rsidR="00475DEC" w:rsidRPr="002927C7">
        <w:rPr>
          <w:rFonts w:ascii="Times New Roman" w:hAnsi="Times New Roman" w:cs="Times New Roman"/>
          <w:b/>
          <w:sz w:val="28"/>
          <w:szCs w:val="28"/>
          <w:lang w:val="uk-UA"/>
        </w:rPr>
        <w:t>. План ком</w:t>
      </w:r>
      <w:r w:rsidR="00F62F93" w:rsidRPr="002927C7">
        <w:rPr>
          <w:rFonts w:ascii="Times New Roman" w:hAnsi="Times New Roman" w:cs="Times New Roman"/>
          <w:b/>
          <w:sz w:val="28"/>
          <w:szCs w:val="28"/>
          <w:lang w:val="uk-UA"/>
        </w:rPr>
        <w:t>уніка</w:t>
      </w:r>
      <w:r w:rsidRPr="002927C7">
        <w:rPr>
          <w:rFonts w:ascii="Times New Roman" w:hAnsi="Times New Roman" w:cs="Times New Roman"/>
          <w:b/>
          <w:sz w:val="28"/>
          <w:szCs w:val="28"/>
          <w:lang w:val="uk-UA"/>
        </w:rPr>
        <w:t>ційних заходів ТОАС на 2020 рік</w:t>
      </w:r>
    </w:p>
    <w:p w:rsidR="002927C7" w:rsidRPr="002927C7" w:rsidRDefault="002927C7" w:rsidP="00475DEC">
      <w:pPr>
        <w:tabs>
          <w:tab w:val="left" w:pos="466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95"/>
        <w:gridCol w:w="2458"/>
        <w:gridCol w:w="3323"/>
        <w:gridCol w:w="2449"/>
        <w:gridCol w:w="2440"/>
      </w:tblGrid>
      <w:tr w:rsidR="00475DEC" w:rsidRPr="002927C7" w:rsidTr="00F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/>
              </w:rPr>
              <w:t>Цільова аудиторія на яку розрахований захід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/>
              </w:rPr>
              <w:t>Очікуваний результат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/>
              </w:rPr>
              <w:t>Орієнтована дата проведення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uk-UA"/>
              </w:rPr>
              <w:t>Примітка</w:t>
            </w:r>
          </w:p>
        </w:tc>
      </w:tr>
      <w:tr w:rsidR="00475DEC" w:rsidRPr="002927C7" w:rsidTr="00475DEC">
        <w:tc>
          <w:tcPr>
            <w:tcW w:w="14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Внутрішня комунікація </w:t>
            </w:r>
          </w:p>
        </w:tc>
      </w:tr>
      <w:tr w:rsidR="00475DEC" w:rsidRPr="002927C7" w:rsidTr="00F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Налагодження системи оперативного обміну інформацією працівників суду з професійних та інших питань діяльності суду та судової системи загалом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та працівники апарату суду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Налагодження ефективної комунікаційної  взаємодії вироблення спільних позицій з питань діяльності суду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5DEC" w:rsidRPr="002927C7" w:rsidTr="00F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F62F93" w:rsidP="00F62F93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тему «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 суду та громади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та працівники апарату суду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навичок ефективного спілкування та комунікаційної взаємодії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F62F93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1A5DCB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5DEC" w:rsidRPr="002927C7" w:rsidTr="00F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F62F93" w:rsidP="00F62F93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Тренінг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пілкування із представниками ЗМІ 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93" w:rsidRPr="002927C7" w:rsidRDefault="00F62F93" w:rsidP="00F62F93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апарату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та вдосконалення  навичок спілкування із ЗМІ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1A5DCB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2020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5DEC" w:rsidRPr="002927C7" w:rsidTr="00475DEC">
        <w:tc>
          <w:tcPr>
            <w:tcW w:w="14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Зовнішня комунікація</w:t>
            </w:r>
          </w:p>
        </w:tc>
      </w:tr>
      <w:tr w:rsidR="00475DEC" w:rsidRPr="002927C7" w:rsidTr="00F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Безперервне оновлення інформації  у всіх розділах  офіційного веб-порталу 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Судова влада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Громадяни, відвідувачі суду, представники ЗМІ, громадські організації, представники органів державної влади та місцевого самоврядування та інші.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Оперативне отримання довідкової інформації про діяльність суду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5DEC" w:rsidRPr="002927C7" w:rsidTr="00F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Безперервне оновлення інформації на офіційній сторінці ТОАС у соціальній мережі </w:t>
            </w:r>
            <w:r w:rsidRPr="002927C7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Громадяни, відвідувачі суду, представники ЗМІ, громадські організації, представники органів державної влади та місцевого самоврядування та інші.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Оперативне отримання довідко їх інформації про діяльність суду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5DEC" w:rsidRPr="002927C7" w:rsidTr="00F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501C6F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інформаційних стендів у приміщенні суду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Громадяни, відвідувачі суду, представники ЗМІ, громадські організації, представники органів державної влади та місцевого самоврядування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Оперативне отримання довідко їх інформації про діяльність суду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5DEC" w:rsidRPr="002927C7" w:rsidTr="00F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501C6F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інформаціно</w:t>
            </w:r>
            <w:proofErr w:type="spellEnd"/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-просвітницької роботи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обізнаності про діяльність судової системи, професійне орієнтування. Підвищення довіри до роботи суду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5DEC" w:rsidRPr="002927C7" w:rsidTr="00F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501C6F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матеріалів у ЗМІ, які стосуються діяльності суду, за необхідності – організація оперативного реагування на них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Цільові групи </w:t>
            </w:r>
          </w:p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результатами моніторингу)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Оперативне реагування покращує сприймання громадянами роботи суду, підвищує довіру до роботи суду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5DEC" w:rsidRPr="002927C7" w:rsidTr="00F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501C6F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475DEC"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2927C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відкритих дверей</w:t>
            </w:r>
            <w:r w:rsidRPr="002927C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про діяльність суду, підвищення довіри до роботи суду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Pr="002927C7" w:rsidRDefault="00475DEC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9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C" w:rsidRPr="002927C7" w:rsidRDefault="00475DEC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75DEC" w:rsidRPr="002927C7" w:rsidRDefault="00475DEC" w:rsidP="00475DEC">
      <w:pPr>
        <w:tabs>
          <w:tab w:val="left" w:pos="4665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DEC" w:rsidRPr="002927C7" w:rsidRDefault="00475DEC" w:rsidP="00475DEC">
      <w:pPr>
        <w:tabs>
          <w:tab w:val="left" w:pos="46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EC" w:rsidRPr="002927C7" w:rsidRDefault="00475DEC" w:rsidP="00475DEC">
      <w:pPr>
        <w:tabs>
          <w:tab w:val="left" w:pos="46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EC" w:rsidRDefault="00475DEC" w:rsidP="00475DEC">
      <w:pPr>
        <w:tabs>
          <w:tab w:val="left" w:pos="4665"/>
        </w:tabs>
        <w:jc w:val="both"/>
        <w:rPr>
          <w:sz w:val="28"/>
          <w:szCs w:val="28"/>
          <w:lang w:val="uk-UA"/>
        </w:rPr>
      </w:pPr>
    </w:p>
    <w:p w:rsidR="00475DEC" w:rsidRDefault="00475DEC" w:rsidP="00475DEC">
      <w:pPr>
        <w:tabs>
          <w:tab w:val="left" w:pos="4665"/>
        </w:tabs>
        <w:jc w:val="both"/>
        <w:rPr>
          <w:sz w:val="28"/>
          <w:szCs w:val="28"/>
          <w:lang w:val="uk-UA"/>
        </w:rPr>
      </w:pPr>
    </w:p>
    <w:p w:rsidR="00475DEC" w:rsidRDefault="00475DEC" w:rsidP="00475DEC">
      <w:pPr>
        <w:rPr>
          <w:b/>
          <w:sz w:val="28"/>
          <w:szCs w:val="28"/>
          <w:lang w:val="uk-UA"/>
        </w:rPr>
        <w:sectPr w:rsidR="00475DE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86F9E" w:rsidRDefault="00EB243D" w:rsidP="00186F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75DEC" w:rsidRPr="00E25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Очікування та критерії оцінки комунікаційної діяльності </w:t>
      </w:r>
    </w:p>
    <w:p w:rsidR="00186F9E" w:rsidRDefault="00475DEC" w:rsidP="00186F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2D">
        <w:rPr>
          <w:rFonts w:ascii="Times New Roman" w:hAnsi="Times New Roman" w:cs="Times New Roman"/>
          <w:sz w:val="28"/>
          <w:szCs w:val="28"/>
          <w:lang w:val="uk-UA"/>
        </w:rPr>
        <w:t>З метою налагодження та покращення зв’язків із громадськістю Тернопільський окружний адміністративний суд впроваджує свою комунікативну стратегію очікуючи  в кінцевому результаті  встановлення змістовного та постійного діалогу із суспільством, підвищення авторитету суду, покращення правової обізнаності населення про порядок захисту їхніх прав та інтересів у судах, збільшення та укріплення довіри громадян і їхньої впевненості у неупередженому та законному прийняті рішень .</w:t>
      </w:r>
    </w:p>
    <w:p w:rsidR="00186F9E" w:rsidRDefault="00186F9E" w:rsidP="00186F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F9E" w:rsidRDefault="00475DEC" w:rsidP="00186F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2D">
        <w:rPr>
          <w:rFonts w:ascii="Times New Roman" w:hAnsi="Times New Roman" w:cs="Times New Roman"/>
          <w:sz w:val="28"/>
          <w:szCs w:val="28"/>
          <w:lang w:val="uk-UA"/>
        </w:rPr>
        <w:t xml:space="preserve">Важливими серед очікуваних результатів реалізації Комунікаційної стратегії ТОАС можна назвати: </w:t>
      </w:r>
    </w:p>
    <w:p w:rsidR="00186F9E" w:rsidRDefault="00186F9E" w:rsidP="00186F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75DEC" w:rsidRPr="00E2572D">
        <w:rPr>
          <w:rFonts w:ascii="Times New Roman" w:hAnsi="Times New Roman" w:cs="Times New Roman"/>
          <w:sz w:val="28"/>
          <w:szCs w:val="28"/>
          <w:lang w:val="uk-UA"/>
        </w:rPr>
        <w:t>підвищення рівня правової обізнаності населення та ЗМІ;</w:t>
      </w:r>
    </w:p>
    <w:p w:rsidR="00186F9E" w:rsidRDefault="00186F9E" w:rsidP="00186F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75DEC" w:rsidRPr="00E2572D">
        <w:rPr>
          <w:rFonts w:ascii="Times New Roman" w:hAnsi="Times New Roman" w:cs="Times New Roman"/>
          <w:sz w:val="28"/>
          <w:szCs w:val="28"/>
          <w:lang w:val="uk-UA"/>
        </w:rPr>
        <w:t>підвищення рівня зацікавленості громадян, насамперед молодих юристів, у роботі в суді;</w:t>
      </w:r>
    </w:p>
    <w:p w:rsidR="00186F9E" w:rsidRDefault="00186F9E" w:rsidP="00186F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75DEC" w:rsidRPr="00E2572D">
        <w:rPr>
          <w:rFonts w:ascii="Times New Roman" w:hAnsi="Times New Roman" w:cs="Times New Roman"/>
          <w:sz w:val="28"/>
          <w:szCs w:val="28"/>
          <w:lang w:val="uk-UA"/>
        </w:rPr>
        <w:t>налагодження постійного зв</w:t>
      </w:r>
      <w:r w:rsidR="00475DEC" w:rsidRPr="00E2572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75DEC" w:rsidRPr="00E2572D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475DEC" w:rsidRPr="00E2572D">
        <w:rPr>
          <w:rFonts w:ascii="Times New Roman" w:hAnsi="Times New Roman" w:cs="Times New Roman"/>
          <w:sz w:val="28"/>
          <w:szCs w:val="28"/>
          <w:lang w:val="uk-UA"/>
        </w:rPr>
        <w:t xml:space="preserve"> із ЗМІ з метою оперативного висвітлення діяльності ТОАС;</w:t>
      </w:r>
    </w:p>
    <w:p w:rsidR="00475DEC" w:rsidRPr="00186F9E" w:rsidRDefault="00186F9E" w:rsidP="00186F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75DEC" w:rsidRPr="00E2572D">
        <w:rPr>
          <w:rFonts w:ascii="Times New Roman" w:hAnsi="Times New Roman" w:cs="Times New Roman"/>
          <w:sz w:val="28"/>
          <w:szCs w:val="28"/>
          <w:lang w:val="uk-UA"/>
        </w:rPr>
        <w:t>формування позитивного іміджу судової влади.</w:t>
      </w:r>
    </w:p>
    <w:p w:rsidR="00475DEC" w:rsidRPr="00E2572D" w:rsidRDefault="00475DEC" w:rsidP="00186F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DEC" w:rsidRDefault="00475DEC" w:rsidP="00186F9E">
      <w:pPr>
        <w:spacing w:after="0"/>
        <w:jc w:val="both"/>
        <w:rPr>
          <w:b/>
          <w:sz w:val="28"/>
          <w:szCs w:val="28"/>
          <w:lang w:val="uk-UA"/>
        </w:rPr>
      </w:pPr>
    </w:p>
    <w:p w:rsidR="00475DEC" w:rsidRDefault="00475DEC" w:rsidP="00186F9E">
      <w:pPr>
        <w:spacing w:after="0"/>
        <w:jc w:val="both"/>
        <w:rPr>
          <w:b/>
          <w:sz w:val="28"/>
          <w:szCs w:val="28"/>
          <w:lang w:val="uk-UA"/>
        </w:rPr>
      </w:pPr>
    </w:p>
    <w:p w:rsidR="00475DEC" w:rsidRDefault="00475DEC" w:rsidP="00186F9E">
      <w:pPr>
        <w:spacing w:after="0"/>
        <w:jc w:val="both"/>
        <w:rPr>
          <w:b/>
          <w:sz w:val="28"/>
          <w:szCs w:val="28"/>
          <w:lang w:val="uk-UA"/>
        </w:rPr>
      </w:pPr>
    </w:p>
    <w:p w:rsidR="00475DEC" w:rsidRPr="00475DEC" w:rsidRDefault="00475DEC">
      <w:pPr>
        <w:rPr>
          <w:lang w:val="uk-UA"/>
        </w:rPr>
      </w:pPr>
    </w:p>
    <w:sectPr w:rsidR="00475DEC" w:rsidRPr="00475DEC" w:rsidSect="00E44E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0149"/>
    <w:multiLevelType w:val="hybridMultilevel"/>
    <w:tmpl w:val="EF6219A0"/>
    <w:lvl w:ilvl="0" w:tplc="E76A61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678DC"/>
    <w:multiLevelType w:val="hybridMultilevel"/>
    <w:tmpl w:val="4590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436D"/>
    <w:multiLevelType w:val="hybridMultilevel"/>
    <w:tmpl w:val="45540F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501E8E"/>
    <w:multiLevelType w:val="hybridMultilevel"/>
    <w:tmpl w:val="E1D2E3F4"/>
    <w:lvl w:ilvl="0" w:tplc="58CAA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B7915"/>
    <w:multiLevelType w:val="hybridMultilevel"/>
    <w:tmpl w:val="DB7A5CB4"/>
    <w:lvl w:ilvl="0" w:tplc="58CAAB0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DEC"/>
    <w:rsid w:val="0004247F"/>
    <w:rsid w:val="000723F7"/>
    <w:rsid w:val="0011135D"/>
    <w:rsid w:val="00160F7D"/>
    <w:rsid w:val="00186F9E"/>
    <w:rsid w:val="001A5DCB"/>
    <w:rsid w:val="002927C7"/>
    <w:rsid w:val="00463CD9"/>
    <w:rsid w:val="00475DEC"/>
    <w:rsid w:val="00501C6F"/>
    <w:rsid w:val="005A531F"/>
    <w:rsid w:val="00603F92"/>
    <w:rsid w:val="00666269"/>
    <w:rsid w:val="006A473C"/>
    <w:rsid w:val="007D3C67"/>
    <w:rsid w:val="00853F21"/>
    <w:rsid w:val="00967052"/>
    <w:rsid w:val="00A05A2F"/>
    <w:rsid w:val="00A21CA0"/>
    <w:rsid w:val="00A504B6"/>
    <w:rsid w:val="00A6546D"/>
    <w:rsid w:val="00AB580E"/>
    <w:rsid w:val="00C91361"/>
    <w:rsid w:val="00CB2973"/>
    <w:rsid w:val="00CC2624"/>
    <w:rsid w:val="00D1442E"/>
    <w:rsid w:val="00E2572D"/>
    <w:rsid w:val="00E44EE0"/>
    <w:rsid w:val="00EB243D"/>
    <w:rsid w:val="00EC24ED"/>
    <w:rsid w:val="00F62F93"/>
    <w:rsid w:val="00F71A1F"/>
    <w:rsid w:val="00F9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A659"/>
  <w15:docId w15:val="{2BE5C9AE-26AD-4EDE-AD2A-0C6BBEEF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5D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.te.court.gov.ua/sud19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4BC8-D7CF-4E42-9C1D-BD1F0CDC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8293</Words>
  <Characters>4728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tverdohlib</dc:creator>
  <cp:keywords/>
  <dc:description/>
  <cp:lastModifiedBy>Андрій Романович Гніданик</cp:lastModifiedBy>
  <cp:revision>21</cp:revision>
  <dcterms:created xsi:type="dcterms:W3CDTF">2020-01-13T08:14:00Z</dcterms:created>
  <dcterms:modified xsi:type="dcterms:W3CDTF">2020-02-07T13:21:00Z</dcterms:modified>
</cp:coreProperties>
</file>