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8C7457">
        <w:rPr>
          <w:rFonts w:ascii="Times New Roman" w:hAnsi="Times New Roman" w:cs="Times New Roman"/>
          <w:sz w:val="24"/>
          <w:szCs w:val="24"/>
        </w:rPr>
        <w:t>1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0B68EA">
        <w:rPr>
          <w:rFonts w:ascii="Times New Roman" w:hAnsi="Times New Roman" w:cs="Times New Roman"/>
          <w:sz w:val="24"/>
          <w:szCs w:val="24"/>
        </w:rPr>
        <w:t>30</w:t>
      </w:r>
      <w:r w:rsidR="00D830D9" w:rsidRPr="00320D8E">
        <w:rPr>
          <w:rFonts w:ascii="Times New Roman" w:hAnsi="Times New Roman" w:cs="Times New Roman"/>
          <w:sz w:val="24"/>
          <w:szCs w:val="24"/>
        </w:rPr>
        <w:t xml:space="preserve"> березня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BB32B3" w:rsidRPr="00DF4F31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F31">
        <w:rPr>
          <w:rFonts w:ascii="Times New Roman" w:hAnsi="Times New Roman" w:cs="Times New Roman"/>
          <w:sz w:val="24"/>
          <w:szCs w:val="24"/>
        </w:rPr>
        <w:t xml:space="preserve">№ </w:t>
      </w:r>
      <w:r w:rsidR="00DF4F31" w:rsidRPr="00DF4F31">
        <w:rPr>
          <w:rFonts w:ascii="Times New Roman" w:hAnsi="Times New Roman" w:cs="Times New Roman"/>
          <w:bCs/>
          <w:sz w:val="24"/>
          <w:szCs w:val="24"/>
        </w:rPr>
        <w:t>43</w:t>
      </w:r>
      <w:r w:rsidR="00BB32B3" w:rsidRPr="00DF4F31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bCs/>
          <w:lang w:val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конкурсу</w:t>
      </w:r>
      <w:r w:rsidRPr="00320D8E">
        <w:rPr>
          <w:bCs/>
          <w:lang w:val="uk-UA"/>
        </w:rPr>
        <w:t xml:space="preserve"> </w:t>
      </w:r>
    </w:p>
    <w:p w:rsidR="009B5BE8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на зайняття 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0B68EA" w:rsidRPr="000B68E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головного спеціаліста </w:t>
      </w:r>
    </w:p>
    <w:p w:rsidR="000B68EA" w:rsidRDefault="000B68EA" w:rsidP="009B5BE8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0B68E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відділу </w:t>
      </w:r>
      <w:r w:rsidR="008C745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документального</w:t>
      </w:r>
      <w:r w:rsidRPr="000B68E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забезпечення </w:t>
      </w:r>
    </w:p>
    <w:p w:rsidR="00320D8E" w:rsidRDefault="00320D8E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="0027287B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A86EED" w:rsidRPr="00320D8E" w:rsidRDefault="00A86EED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</w:t>
      </w:r>
      <w:r w:rsidR="00EC447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дві посади)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EED" w:rsidRDefault="00A86EED" w:rsidP="00A86EE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1.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в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вхідної</w:t>
            </w:r>
            <w:proofErr w:type="spellEnd"/>
            <w:r>
              <w:t xml:space="preserve">, </w:t>
            </w:r>
            <w:proofErr w:type="spellStart"/>
            <w:r>
              <w:t>вихідної</w:t>
            </w:r>
            <w:proofErr w:type="spellEnd"/>
            <w:r>
              <w:t xml:space="preserve"> </w:t>
            </w:r>
            <w:proofErr w:type="spellStart"/>
            <w:r>
              <w:t>кореспонденції</w:t>
            </w:r>
            <w:proofErr w:type="spellEnd"/>
            <w:r>
              <w:t xml:space="preserve"> суду; у </w:t>
            </w:r>
            <w:proofErr w:type="spellStart"/>
            <w:r>
              <w:t>ході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контролює</w:t>
            </w:r>
            <w:proofErr w:type="spellEnd"/>
            <w:r>
              <w:t xml:space="preserve">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реквізитів</w:t>
            </w:r>
            <w:proofErr w:type="spellEnd"/>
            <w:r>
              <w:t xml:space="preserve">, </w:t>
            </w:r>
            <w:proofErr w:type="spellStart"/>
            <w:r>
              <w:t>додатків</w:t>
            </w:r>
            <w:proofErr w:type="spellEnd"/>
            <w:r>
              <w:t xml:space="preserve"> до документа.</w:t>
            </w:r>
          </w:p>
          <w:p w:rsidR="00A86EED" w:rsidRDefault="00A86EED" w:rsidP="00A86EE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2.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підготовку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справ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скаргами</w:t>
            </w:r>
            <w:proofErr w:type="spellEnd"/>
            <w:r>
              <w:t xml:space="preserve"> для </w:t>
            </w:r>
            <w:proofErr w:type="spellStart"/>
            <w:r>
              <w:t>надсилання</w:t>
            </w:r>
            <w:proofErr w:type="spellEnd"/>
            <w:r>
              <w:t xml:space="preserve"> до </w:t>
            </w:r>
            <w:proofErr w:type="spellStart"/>
            <w:r>
              <w:t>судів</w:t>
            </w:r>
            <w:proofErr w:type="spellEnd"/>
            <w:r>
              <w:t xml:space="preserve">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інстанцій</w:t>
            </w:r>
            <w:proofErr w:type="spellEnd"/>
            <w:r>
              <w:t>.</w:t>
            </w:r>
          </w:p>
          <w:p w:rsidR="00A86EED" w:rsidRDefault="00A86EED" w:rsidP="00A86EE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3. </w:t>
            </w:r>
            <w:proofErr w:type="spellStart"/>
            <w:r>
              <w:t>Оформляє</w:t>
            </w:r>
            <w:proofErr w:type="spellEnd"/>
            <w:r>
              <w:t xml:space="preserve"> і </w:t>
            </w:r>
            <w:proofErr w:type="spellStart"/>
            <w:r>
              <w:t>веде</w:t>
            </w:r>
            <w:proofErr w:type="spellEnd"/>
            <w:r>
              <w:t xml:space="preserve"> </w:t>
            </w:r>
            <w:proofErr w:type="spellStart"/>
            <w:r>
              <w:t>номенклатурні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документального </w:t>
            </w:r>
            <w:proofErr w:type="spellStart"/>
            <w:r>
              <w:t>забезпечення</w:t>
            </w:r>
            <w:proofErr w:type="spellEnd"/>
            <w:r>
              <w:t>.</w:t>
            </w:r>
          </w:p>
          <w:p w:rsidR="00A86EED" w:rsidRDefault="00A86EED" w:rsidP="00A86EE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4.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заповнення</w:t>
            </w:r>
            <w:proofErr w:type="spellEnd"/>
            <w:r>
              <w:t xml:space="preserve"> </w:t>
            </w:r>
            <w:proofErr w:type="spellStart"/>
            <w:r>
              <w:t>обліково-статистичних</w:t>
            </w:r>
            <w:proofErr w:type="spellEnd"/>
            <w:r>
              <w:t xml:space="preserve"> </w:t>
            </w:r>
            <w:proofErr w:type="spellStart"/>
            <w:r>
              <w:t>карток</w:t>
            </w:r>
            <w:proofErr w:type="spellEnd"/>
            <w:r>
              <w:t xml:space="preserve"> в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вигляді</w:t>
            </w:r>
            <w:proofErr w:type="spellEnd"/>
            <w:r>
              <w:t>.</w:t>
            </w:r>
          </w:p>
          <w:p w:rsidR="00A86EED" w:rsidRDefault="00A86EED" w:rsidP="00A86EE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5.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сторонам та </w:t>
            </w:r>
            <w:proofErr w:type="spellStart"/>
            <w:r>
              <w:t>іншим</w:t>
            </w:r>
            <w:proofErr w:type="spellEnd"/>
            <w:r>
              <w:t xml:space="preserve"> </w:t>
            </w:r>
            <w:proofErr w:type="spellStart"/>
            <w:r>
              <w:t>учасникам</w:t>
            </w:r>
            <w:proofErr w:type="spellEnd"/>
            <w:r>
              <w:t xml:space="preserve"> судового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судової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до суду,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унікального</w:t>
            </w:r>
            <w:proofErr w:type="spellEnd"/>
            <w:r>
              <w:t xml:space="preserve"> номера </w:t>
            </w:r>
            <w:proofErr w:type="spellStart"/>
            <w:r>
              <w:t>судової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номера </w:t>
            </w:r>
            <w:proofErr w:type="spellStart"/>
            <w:r>
              <w:t>провадження</w:t>
            </w:r>
            <w:proofErr w:type="spellEnd"/>
            <w:r>
              <w:t xml:space="preserve">, </w:t>
            </w:r>
            <w:proofErr w:type="spellStart"/>
            <w:r>
              <w:t>прізвища</w:t>
            </w:r>
            <w:proofErr w:type="spellEnd"/>
            <w:r>
              <w:t xml:space="preserve">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, </w:t>
            </w:r>
            <w:proofErr w:type="spellStart"/>
            <w:r>
              <w:t>дати</w:t>
            </w:r>
            <w:proofErr w:type="spellEnd"/>
            <w:r>
              <w:t xml:space="preserve"> та часу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судової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до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судового </w:t>
            </w:r>
            <w:proofErr w:type="spellStart"/>
            <w:r>
              <w:t>засідання</w:t>
            </w:r>
            <w:proofErr w:type="spellEnd"/>
            <w:r>
              <w:t xml:space="preserve">,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судової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апеляційних</w:t>
            </w:r>
            <w:proofErr w:type="spellEnd"/>
            <w:r>
              <w:t xml:space="preserve"> </w:t>
            </w:r>
            <w:proofErr w:type="spellStart"/>
            <w:r>
              <w:t>скарг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 про перегляд </w:t>
            </w:r>
            <w:proofErr w:type="spellStart"/>
            <w:r>
              <w:t>судових</w:t>
            </w:r>
            <w:proofErr w:type="spellEnd"/>
            <w:r>
              <w:t xml:space="preserve"> </w:t>
            </w:r>
            <w:proofErr w:type="spellStart"/>
            <w:r>
              <w:t>рішень</w:t>
            </w:r>
            <w:proofErr w:type="spellEnd"/>
            <w:r>
              <w:t xml:space="preserve"> за </w:t>
            </w:r>
            <w:proofErr w:type="spellStart"/>
            <w:r>
              <w:t>нововиявленими</w:t>
            </w:r>
            <w:proofErr w:type="spellEnd"/>
            <w:r>
              <w:t xml:space="preserve"> </w:t>
            </w:r>
            <w:proofErr w:type="spellStart"/>
            <w:r>
              <w:t>обставинами</w:t>
            </w:r>
            <w:proofErr w:type="spellEnd"/>
            <w:r>
              <w:t>.</w:t>
            </w:r>
          </w:p>
          <w:p w:rsidR="00A86EED" w:rsidRDefault="00A86EED" w:rsidP="00A86EE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6. </w:t>
            </w:r>
            <w:proofErr w:type="spellStart"/>
            <w:r>
              <w:t>Готує</w:t>
            </w:r>
            <w:proofErr w:type="spellEnd"/>
            <w:r>
              <w:t xml:space="preserve">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довідки</w:t>
            </w:r>
            <w:proofErr w:type="spellEnd"/>
            <w:r>
              <w:t xml:space="preserve"> про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документообігу</w:t>
            </w:r>
            <w:proofErr w:type="spellEnd"/>
            <w:r>
              <w:t xml:space="preserve">, </w:t>
            </w:r>
            <w:proofErr w:type="spellStart"/>
            <w:r>
              <w:t>кількість</w:t>
            </w:r>
            <w:proofErr w:type="spellEnd"/>
            <w:r>
              <w:t xml:space="preserve"> та характер </w:t>
            </w:r>
            <w:proofErr w:type="spellStart"/>
            <w:r>
              <w:t>кореспонденції</w:t>
            </w:r>
            <w:proofErr w:type="spellEnd"/>
            <w:r>
              <w:t>.</w:t>
            </w:r>
          </w:p>
          <w:p w:rsidR="00A86EED" w:rsidRDefault="00A86EED" w:rsidP="00A86EE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7.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начальнику </w:t>
            </w:r>
            <w:proofErr w:type="spellStart"/>
            <w:r>
              <w:t>відділу</w:t>
            </w:r>
            <w:proofErr w:type="spellEnd"/>
            <w:r>
              <w:t xml:space="preserve"> документального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номенклатури</w:t>
            </w:r>
            <w:proofErr w:type="spellEnd"/>
            <w:r>
              <w:t xml:space="preserve"> справ суду та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документального </w:t>
            </w:r>
            <w:proofErr w:type="spellStart"/>
            <w:r>
              <w:t>забезпечення</w:t>
            </w:r>
            <w:proofErr w:type="spellEnd"/>
            <w:r>
              <w:t>.</w:t>
            </w:r>
          </w:p>
          <w:p w:rsidR="00320D8E" w:rsidRPr="00320D8E" w:rsidRDefault="00A86EED" w:rsidP="00A86EED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t xml:space="preserve">8. </w:t>
            </w: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доручення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структурного </w:t>
            </w:r>
            <w:proofErr w:type="spellStart"/>
            <w:r>
              <w:t>підрозділу</w:t>
            </w:r>
            <w:proofErr w:type="spellEnd"/>
            <w:r>
              <w:t xml:space="preserve">,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апарату</w:t>
            </w:r>
            <w:proofErr w:type="spellEnd"/>
            <w:r>
              <w:t xml:space="preserve">, </w:t>
            </w:r>
            <w:proofErr w:type="spellStart"/>
            <w:r>
              <w:t>голови</w:t>
            </w:r>
            <w:proofErr w:type="spellEnd"/>
            <w:r>
              <w:t xml:space="preserve"> суду.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>
              <w:t>5</w:t>
            </w:r>
            <w:r w:rsidR="00A96198">
              <w:rPr>
                <w:lang w:val="uk-UA"/>
              </w:rPr>
              <w:t>76</w:t>
            </w:r>
            <w:r>
              <w:t>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Інформація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чи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безстроковість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призначення</w:t>
            </w:r>
            <w:proofErr w:type="spellEnd"/>
            <w:r w:rsidRPr="00265E81">
              <w:t xml:space="preserve"> на посаду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9A7F80" w:rsidRDefault="009A7F80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Безстрокове призначення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необхідної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конкурсі</w:t>
            </w:r>
            <w:proofErr w:type="spellEnd"/>
            <w:r w:rsidRPr="00265E81">
              <w:t xml:space="preserve">, та строк </w:t>
            </w:r>
            <w:proofErr w:type="spellStart"/>
            <w:r w:rsidRPr="00265E81">
              <w:t>її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0" w:name="n1170"/>
            <w:bookmarkEnd w:id="0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proofErr w:type="spellStart"/>
            <w:r w:rsidRPr="00CD52D6">
              <w:t>конкурсі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</w:t>
            </w:r>
            <w:r w:rsidR="00CD52D6">
              <w:rPr>
                <w:lang w:val="uk-UA"/>
              </w:rPr>
              <w:t xml:space="preserve"> </w:t>
            </w:r>
            <w:hyperlink r:id="rId5" w:anchor="n199" w:history="1">
              <w:proofErr w:type="spellStart"/>
              <w:r w:rsidRPr="00320D8E">
                <w:t>додатком</w:t>
              </w:r>
              <w:proofErr w:type="spellEnd"/>
              <w:r w:rsidRPr="00320D8E">
                <w:t xml:space="preserve"> 2</w:t>
              </w:r>
            </w:hyperlink>
            <w:r w:rsidRPr="00320D8E">
              <w:t xml:space="preserve"> Порядку </w:t>
            </w:r>
            <w:proofErr w:type="spellStart"/>
            <w:r w:rsidRPr="00320D8E">
              <w:t>проведення</w:t>
            </w:r>
            <w:proofErr w:type="spellEnd"/>
            <w:r w:rsidRPr="00320D8E">
              <w:t xml:space="preserve"> конкурсу на </w:t>
            </w:r>
            <w:proofErr w:type="spellStart"/>
            <w:r w:rsidRPr="00320D8E">
              <w:t>зайняття</w:t>
            </w:r>
            <w:proofErr w:type="spellEnd"/>
            <w:r w:rsidRPr="00320D8E">
              <w:t xml:space="preserve"> посад </w:t>
            </w:r>
            <w:proofErr w:type="spellStart"/>
            <w:r w:rsidRPr="00320D8E">
              <w:t>державної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служби</w:t>
            </w:r>
            <w:proofErr w:type="spellEnd"/>
            <w:r w:rsidRPr="00320D8E">
              <w:t xml:space="preserve">, </w:t>
            </w:r>
            <w:proofErr w:type="spellStart"/>
            <w:r w:rsidRPr="00320D8E">
              <w:t>затвердженого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постановою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Кабінету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Міністрів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України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від</w:t>
            </w:r>
            <w:proofErr w:type="spellEnd"/>
            <w:r w:rsidRPr="00320D8E">
              <w:t xml:space="preserve"> 25.03.2016 р. № 246 (</w:t>
            </w:r>
            <w:r w:rsidR="00CD52D6"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1"/>
            <w:bookmarkEnd w:id="1"/>
            <w:r w:rsidRPr="00CD52D6">
              <w:t xml:space="preserve">2) резюме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2"/>
            <w:bookmarkEnd w:id="2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3"/>
            <w:bookmarkEnd w:id="3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4"/>
            <w:bookmarkEnd w:id="4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5"/>
            <w:bookmarkEnd w:id="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6"/>
            <w:bookmarkEnd w:id="6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7"/>
            <w:bookmarkEnd w:id="7"/>
            <w:r w:rsidRPr="00CD52D6">
              <w:t xml:space="preserve">3)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, в </w:t>
            </w:r>
            <w:proofErr w:type="spellStart"/>
            <w:r w:rsidRPr="00CD52D6">
              <w:t>якій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повідомляє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не </w:t>
            </w:r>
            <w:proofErr w:type="spellStart"/>
            <w:r w:rsidRPr="00CD52D6">
              <w:t>застосовуються</w:t>
            </w:r>
            <w:proofErr w:type="spellEnd"/>
            <w:r w:rsidRPr="00CD52D6">
              <w:t xml:space="preserve"> заборони, </w:t>
            </w:r>
            <w:proofErr w:type="spellStart"/>
            <w:r w:rsidRPr="00CD52D6">
              <w:t>визначені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частиною</w:t>
            </w:r>
            <w:proofErr w:type="spellEnd"/>
            <w:r w:rsidR="00CD52D6">
              <w:rPr>
                <w:lang w:val="uk-UA"/>
              </w:rPr>
              <w:t xml:space="preserve"> </w:t>
            </w:r>
            <w:hyperlink r:id="rId6" w:anchor="n13" w:tgtFrame="_blank" w:history="1">
              <w:proofErr w:type="spellStart"/>
              <w:r w:rsidRPr="00CD52D6">
                <w:t>третьою</w:t>
              </w:r>
              <w:proofErr w:type="spellEnd"/>
            </w:hyperlink>
            <w:r w:rsidR="00CD52D6">
              <w:rPr>
                <w:lang w:val="uk-UA"/>
              </w:rPr>
              <w:t xml:space="preserve"> </w:t>
            </w:r>
            <w:proofErr w:type="spellStart"/>
            <w:r w:rsidRPr="00CD52D6">
              <w:t>або</w:t>
            </w:r>
            <w:proofErr w:type="spellEnd"/>
            <w:r w:rsidR="00CD52D6"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 w:rsidR="00CD52D6">
              <w:rPr>
                <w:lang w:val="uk-UA"/>
              </w:rPr>
              <w:t xml:space="preserve"> </w:t>
            </w:r>
            <w:proofErr w:type="spellStart"/>
            <w:r w:rsidRPr="00CD52D6">
              <w:t>статті</w:t>
            </w:r>
            <w:proofErr w:type="spellEnd"/>
            <w:r w:rsidRPr="00CD52D6">
              <w:t xml:space="preserve"> 1 Закону </w:t>
            </w:r>
            <w:proofErr w:type="spellStart"/>
            <w:r w:rsidRPr="00CD52D6">
              <w:t>України</w:t>
            </w:r>
            <w:proofErr w:type="spellEnd"/>
            <w:r w:rsidRPr="00CD52D6">
              <w:t xml:space="preserve"> </w:t>
            </w:r>
            <w:r w:rsidR="00CD52D6">
              <w:rPr>
                <w:lang w:val="uk-UA"/>
              </w:rPr>
              <w:t>«</w:t>
            </w:r>
            <w:r w:rsidRPr="00CD52D6">
              <w:t xml:space="preserve">Про </w:t>
            </w:r>
            <w:proofErr w:type="spellStart"/>
            <w:r w:rsidRPr="00CD52D6">
              <w:t>очищення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влади</w:t>
            </w:r>
            <w:proofErr w:type="spellEnd"/>
            <w:r w:rsidR="00CD52D6">
              <w:rPr>
                <w:lang w:val="uk-UA"/>
              </w:rPr>
              <w:t>»</w:t>
            </w:r>
            <w:r w:rsidRPr="00CD52D6">
              <w:t xml:space="preserve">, та </w:t>
            </w:r>
            <w:proofErr w:type="spellStart"/>
            <w:r w:rsidRPr="00CD52D6">
              <w:t>надає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згоду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проходження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перевірки</w:t>
            </w:r>
            <w:proofErr w:type="spellEnd"/>
            <w:r w:rsidRPr="00CD52D6">
              <w:t xml:space="preserve"> та на </w:t>
            </w:r>
            <w:proofErr w:type="spellStart"/>
            <w:r w:rsidRPr="00CD52D6">
              <w:t>оприлюднення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відомостей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стосовно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зазначеного</w:t>
            </w:r>
            <w:proofErr w:type="spellEnd"/>
            <w:r w:rsidRPr="00CD52D6">
              <w:t xml:space="preserve"> Закону.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 xml:space="preserve">Подача </w:t>
            </w:r>
            <w:proofErr w:type="spellStart"/>
            <w:r w:rsidRPr="00CD52D6">
              <w:t>додатків</w:t>
            </w:r>
            <w:proofErr w:type="spellEnd"/>
            <w:r w:rsidRPr="00CD52D6">
              <w:t xml:space="preserve"> до заяви не є </w:t>
            </w:r>
            <w:proofErr w:type="spellStart"/>
            <w:r w:rsidRPr="00CD52D6">
              <w:t>обов’язковою</w:t>
            </w:r>
            <w:proofErr w:type="spellEnd"/>
            <w:r w:rsidRPr="00CD52D6">
              <w:t>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CD52D6">
              <w:t>Документи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приймаються</w:t>
            </w:r>
            <w:proofErr w:type="spellEnd"/>
            <w:r w:rsidRPr="00CD52D6">
              <w:t xml:space="preserve"> до 17 год. 00 </w:t>
            </w:r>
            <w:proofErr w:type="spellStart"/>
            <w:r w:rsidRPr="00CD52D6">
              <w:t>хв</w:t>
            </w:r>
            <w:proofErr w:type="spellEnd"/>
            <w:r w:rsidRPr="00CD52D6">
              <w:t>.</w:t>
            </w:r>
          </w:p>
          <w:p w:rsidR="00616E56" w:rsidRPr="00CD52D6" w:rsidRDefault="009A7F80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07</w:t>
            </w:r>
            <w:r w:rsidR="00616E56" w:rsidRPr="00CD52D6">
              <w:t xml:space="preserve"> </w:t>
            </w:r>
            <w:r>
              <w:rPr>
                <w:lang w:val="uk-UA"/>
              </w:rPr>
              <w:t>квіт</w:t>
            </w:r>
            <w:proofErr w:type="spellStart"/>
            <w:r w:rsidR="00616E56" w:rsidRPr="00CD52D6">
              <w:t>ня</w:t>
            </w:r>
            <w:proofErr w:type="spellEnd"/>
            <w:r w:rsidR="00616E56" w:rsidRPr="00CD52D6">
              <w:t xml:space="preserve"> 2021 року.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за формою </w:t>
            </w:r>
            <w:proofErr w:type="spellStart"/>
            <w:r w:rsidRPr="00320D8E">
              <w:t>згідно</w:t>
            </w:r>
            <w:proofErr w:type="spellEnd"/>
            <w:r w:rsidRPr="00320D8E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3 Порядку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Дата і час початку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кандидатів</w:t>
            </w:r>
            <w:proofErr w:type="spellEnd"/>
          </w:p>
          <w:p w:rsidR="00A54FAB" w:rsidRPr="00265E81" w:rsidRDefault="00A54FA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>.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545CCE" w:rsidRDefault="009A7F80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13</w:t>
            </w:r>
            <w:r w:rsidR="00616E56" w:rsidRPr="00545CCE">
              <w:t xml:space="preserve"> </w:t>
            </w:r>
            <w:r w:rsidR="00A54FAB">
              <w:rPr>
                <w:lang w:val="uk-UA"/>
              </w:rPr>
              <w:t>квіт</w:t>
            </w:r>
            <w:proofErr w:type="spellStart"/>
            <w:r w:rsidR="00616E56" w:rsidRPr="00545CCE">
              <w:t>ня</w:t>
            </w:r>
            <w:proofErr w:type="spellEnd"/>
            <w:r w:rsidR="00616E56" w:rsidRPr="00545CCE">
              <w:t xml:space="preserve"> 2021 року о </w:t>
            </w:r>
            <w:r w:rsidR="00A54FAB">
              <w:rPr>
                <w:lang w:val="uk-UA"/>
              </w:rPr>
              <w:t>09</w:t>
            </w:r>
            <w:r w:rsidR="00616E56" w:rsidRPr="00545CCE">
              <w:t xml:space="preserve"> год.00 </w:t>
            </w:r>
            <w:proofErr w:type="spellStart"/>
            <w:r w:rsidR="00616E56" w:rsidRPr="00545CCE">
              <w:t>хв</w:t>
            </w:r>
            <w:proofErr w:type="spellEnd"/>
            <w:r w:rsidR="00616E56" w:rsidRPr="00545CCE">
              <w:t>.</w:t>
            </w:r>
          </w:p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545CCE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545CCE">
              <w:t>м.</w:t>
            </w:r>
            <w:r w:rsidR="00A54FAB">
              <w:rPr>
                <w:lang w:val="uk-UA"/>
              </w:rPr>
              <w:t xml:space="preserve"> Тернопіль</w:t>
            </w:r>
            <w:r w:rsidRPr="00545CCE">
              <w:t xml:space="preserve">, </w:t>
            </w:r>
            <w:proofErr w:type="spellStart"/>
            <w:r w:rsidRPr="00545CCE">
              <w:t>вул</w:t>
            </w:r>
            <w:proofErr w:type="spellEnd"/>
            <w:r w:rsidRPr="00545CCE">
              <w:t>.</w:t>
            </w:r>
            <w:r w:rsidR="00A54FAB">
              <w:rPr>
                <w:lang w:val="uk-UA"/>
              </w:rPr>
              <w:t xml:space="preserve"> Грушевського</w:t>
            </w:r>
            <w:r w:rsidRPr="00545CCE">
              <w:t xml:space="preserve">, </w:t>
            </w:r>
            <w:r w:rsidR="00A54FAB">
              <w:rPr>
                <w:lang w:val="uk-UA"/>
              </w:rPr>
              <w:t>6</w:t>
            </w:r>
            <w:r w:rsidRPr="00545CCE">
              <w:t xml:space="preserve"> (</w:t>
            </w:r>
            <w:proofErr w:type="spellStart"/>
            <w:r w:rsidRPr="00545CCE">
              <w:t>проведення</w:t>
            </w:r>
            <w:proofErr w:type="spellEnd"/>
            <w:r w:rsidRPr="00545CCE">
              <w:t xml:space="preserve"> </w:t>
            </w:r>
            <w:proofErr w:type="spellStart"/>
            <w:r w:rsidRPr="00545CCE">
              <w:t>тестування</w:t>
            </w:r>
            <w:proofErr w:type="spellEnd"/>
            <w:r w:rsidRPr="00545CCE">
              <w:t xml:space="preserve"> за </w:t>
            </w:r>
            <w:r w:rsidR="00924C41">
              <w:rPr>
                <w:lang w:val="uk-UA"/>
              </w:rPr>
              <w:t xml:space="preserve">фізичної </w:t>
            </w:r>
            <w:proofErr w:type="spellStart"/>
            <w:r w:rsidRPr="00545CCE">
              <w:t>присутності</w:t>
            </w:r>
            <w:proofErr w:type="spellEnd"/>
            <w:r w:rsidRPr="00545CCE">
              <w:t xml:space="preserve"> кандидат</w:t>
            </w:r>
            <w:proofErr w:type="spellStart"/>
            <w:r w:rsidR="00924C41">
              <w:rPr>
                <w:lang w:val="uk-UA"/>
              </w:rPr>
              <w:t>ів</w:t>
            </w:r>
            <w:proofErr w:type="spellEnd"/>
            <w:r w:rsidRPr="00545CCE">
              <w:t>)</w:t>
            </w:r>
          </w:p>
          <w:p w:rsidR="00616E56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545CCE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545CCE" w:rsidRDefault="00924C4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924C41">
              <w:t xml:space="preserve">м. </w:t>
            </w:r>
            <w:proofErr w:type="spellStart"/>
            <w:r w:rsidRPr="00924C41">
              <w:t>Тернопіль</w:t>
            </w:r>
            <w:proofErr w:type="spellEnd"/>
            <w:r w:rsidRPr="00924C41">
              <w:t xml:space="preserve">, </w:t>
            </w:r>
            <w:proofErr w:type="spellStart"/>
            <w:r w:rsidRPr="00924C41">
              <w:t>вул</w:t>
            </w:r>
            <w:proofErr w:type="spellEnd"/>
            <w:r w:rsidRPr="00924C41">
              <w:t xml:space="preserve">. </w:t>
            </w:r>
            <w:proofErr w:type="spellStart"/>
            <w:r w:rsidRPr="00924C41">
              <w:t>Грушевського</w:t>
            </w:r>
            <w:proofErr w:type="spellEnd"/>
            <w:r w:rsidRPr="00924C41">
              <w:t>, 6 (</w:t>
            </w:r>
            <w:proofErr w:type="spellStart"/>
            <w:r w:rsidRPr="00924C41">
              <w:t>проведення</w:t>
            </w:r>
            <w:proofErr w:type="spellEnd"/>
            <w:r w:rsidRPr="00924C41">
              <w:t xml:space="preserve"> </w:t>
            </w:r>
            <w:r w:rsidR="006F3507">
              <w:rPr>
                <w:lang w:val="uk-UA"/>
              </w:rPr>
              <w:t>співбесіди</w:t>
            </w:r>
            <w:r w:rsidRPr="00924C41">
              <w:t xml:space="preserve"> за </w:t>
            </w:r>
            <w:proofErr w:type="spellStart"/>
            <w:r w:rsidRPr="00924C41">
              <w:t>фізичної</w:t>
            </w:r>
            <w:proofErr w:type="spellEnd"/>
            <w:r w:rsidRPr="00924C41">
              <w:t xml:space="preserve"> </w:t>
            </w:r>
            <w:proofErr w:type="spellStart"/>
            <w:r w:rsidRPr="00924C41">
              <w:t>присутності</w:t>
            </w:r>
            <w:proofErr w:type="spellEnd"/>
            <w:r w:rsidRPr="00924C41">
              <w:t xml:space="preserve"> </w:t>
            </w:r>
            <w:proofErr w:type="spellStart"/>
            <w:r w:rsidRPr="00924C41">
              <w:t>кандидатів</w:t>
            </w:r>
            <w:proofErr w:type="spellEnd"/>
            <w:r w:rsidRPr="00924C41"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Прізвище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ім’я</w:t>
            </w:r>
            <w:proofErr w:type="spellEnd"/>
            <w:r w:rsidRPr="00265E81">
              <w:t xml:space="preserve"> та по </w:t>
            </w:r>
            <w:proofErr w:type="spellStart"/>
            <w:r w:rsidRPr="00265E81">
              <w:t>батькові</w:t>
            </w:r>
            <w:proofErr w:type="spellEnd"/>
            <w:r w:rsidRPr="00265E81">
              <w:t xml:space="preserve">, номер телефону та адреса </w:t>
            </w:r>
            <w:proofErr w:type="spellStart"/>
            <w:r w:rsidRPr="00265E81">
              <w:lastRenderedPageBreak/>
              <w:t>електронної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пошти</w:t>
            </w:r>
            <w:proofErr w:type="spellEnd"/>
            <w:r w:rsidRPr="00265E81">
              <w:t xml:space="preserve"> особи,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9A7F80" w:rsidRDefault="009A7F80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</w:t>
            </w:r>
            <w:r w:rsidRPr="009A7F80">
              <w:rPr>
                <w:rFonts w:ascii="Times New Roman" w:hAnsi="Times New Roman" w:cs="Times New Roman"/>
                <w:lang w:eastAsia="en-US"/>
              </w:rPr>
              <w:t>имчак</w:t>
            </w:r>
            <w:proofErr w:type="spellEnd"/>
            <w:r w:rsidRPr="009A7F80">
              <w:rPr>
                <w:rFonts w:ascii="Times New Roman" w:hAnsi="Times New Roman" w:cs="Times New Roman"/>
                <w:lang w:eastAsia="en-US"/>
              </w:rPr>
              <w:t xml:space="preserve"> Людмила Дмитрівна</w:t>
            </w:r>
          </w:p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7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A7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(0352) 220136</w:t>
            </w:r>
          </w:p>
          <w:p w:rsidR="00616E56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8669E5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proofErr w:type="spellStart"/>
            <w:r w:rsidRPr="008669E5">
              <w:t>Вища</w:t>
            </w:r>
            <w:proofErr w:type="spellEnd"/>
            <w:r w:rsidRPr="008669E5">
              <w:t xml:space="preserve"> </w:t>
            </w:r>
            <w:proofErr w:type="spellStart"/>
            <w:r w:rsidRPr="008669E5">
              <w:t>освіта</w:t>
            </w:r>
            <w:proofErr w:type="spellEnd"/>
            <w:r w:rsidRPr="008669E5">
              <w:t xml:space="preserve"> за </w:t>
            </w:r>
            <w:proofErr w:type="spellStart"/>
            <w:r w:rsidRPr="008669E5">
              <w:t>освітнім</w:t>
            </w:r>
            <w:proofErr w:type="spellEnd"/>
            <w:r w:rsidRPr="008669E5">
              <w:t xml:space="preserve"> </w:t>
            </w:r>
            <w:proofErr w:type="spellStart"/>
            <w:r w:rsidRPr="008669E5">
              <w:t>ступенем</w:t>
            </w:r>
            <w:proofErr w:type="spellEnd"/>
            <w:r w:rsidRPr="008669E5">
              <w:t xml:space="preserve"> не </w:t>
            </w:r>
            <w:proofErr w:type="spellStart"/>
            <w:r w:rsidRPr="008669E5">
              <w:t>нижче</w:t>
            </w:r>
            <w:proofErr w:type="spellEnd"/>
            <w:r w:rsidRPr="008669E5">
              <w:t xml:space="preserve"> </w:t>
            </w:r>
            <w:proofErr w:type="spellStart"/>
            <w:r w:rsidRPr="008669E5">
              <w:t>молодшого</w:t>
            </w:r>
            <w:proofErr w:type="spellEnd"/>
            <w:r w:rsidRPr="008669E5">
              <w:t xml:space="preserve"> бакалавра </w:t>
            </w:r>
            <w:proofErr w:type="spellStart"/>
            <w:r w:rsidRPr="008669E5">
              <w:t>або</w:t>
            </w:r>
            <w:proofErr w:type="spellEnd"/>
            <w:r w:rsidRPr="008669E5">
              <w:t xml:space="preserve"> бакалавра за </w:t>
            </w:r>
            <w:proofErr w:type="spellStart"/>
            <w:r w:rsidRPr="008669E5">
              <w:t>спеціальністю</w:t>
            </w:r>
            <w:proofErr w:type="spellEnd"/>
            <w:r w:rsidRPr="008669E5">
              <w:t xml:space="preserve"> «Право», «</w:t>
            </w:r>
            <w:proofErr w:type="spellStart"/>
            <w:r w:rsidRPr="008669E5">
              <w:t>Правоохоронна</w:t>
            </w:r>
            <w:proofErr w:type="spellEnd"/>
            <w:r w:rsidRPr="008669E5">
              <w:t xml:space="preserve"> </w:t>
            </w:r>
            <w:proofErr w:type="spellStart"/>
            <w:r w:rsidRPr="008669E5">
              <w:t>діяльність</w:t>
            </w:r>
            <w:proofErr w:type="spellEnd"/>
            <w:r w:rsidRPr="008669E5">
              <w:t>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Досягнення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результатів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Цифрова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грамотність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65E8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65E81" w:rsidRPr="00320D8E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Відповідальність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Конституції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державну</w:t>
            </w:r>
            <w:proofErr w:type="spellEnd"/>
            <w:r w:rsidRPr="00265E81">
              <w:t xml:space="preserve"> службу»;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запобігання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корупції</w:t>
            </w:r>
            <w:proofErr w:type="spellEnd"/>
            <w:r w:rsidRPr="00265E81">
              <w:t xml:space="preserve">» та </w:t>
            </w:r>
            <w:proofErr w:type="spellStart"/>
            <w:r w:rsidRPr="00265E81">
              <w:t>іншого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>.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спеціального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що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пов’язане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із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завданнями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lastRenderedPageBreak/>
              <w:t>змістом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державного </w:t>
            </w:r>
            <w:proofErr w:type="spellStart"/>
            <w:r w:rsidRPr="00265E81">
              <w:t>службовця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відповідно</w:t>
            </w:r>
            <w:proofErr w:type="spellEnd"/>
            <w:r w:rsidRPr="00265E81">
              <w:t xml:space="preserve"> до </w:t>
            </w:r>
            <w:proofErr w:type="spellStart"/>
            <w:r w:rsidRPr="00265E81">
              <w:t>посадової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інструкції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структурний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підрозділ</w:t>
            </w:r>
            <w:proofErr w:type="spellEnd"/>
            <w:r w:rsidRPr="00265E81">
              <w:t>)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lastRenderedPageBreak/>
              <w:t xml:space="preserve">Кодекс </w:t>
            </w:r>
            <w:proofErr w:type="spellStart"/>
            <w:r w:rsidRPr="00265E81">
              <w:t>адміністративного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судочинства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796A0A" w:rsidRPr="00265E81" w:rsidRDefault="00796A0A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796A0A">
              <w:t xml:space="preserve">Закону </w:t>
            </w:r>
            <w:proofErr w:type="spellStart"/>
            <w:r w:rsidRPr="00796A0A">
              <w:t>України</w:t>
            </w:r>
            <w:proofErr w:type="spellEnd"/>
            <w:r w:rsidRPr="00796A0A">
              <w:t xml:space="preserve"> «Про </w:t>
            </w:r>
            <w:bookmarkStart w:id="8" w:name="_GoBack"/>
            <w:bookmarkEnd w:id="8"/>
            <w:proofErr w:type="spellStart"/>
            <w:r w:rsidRPr="00796A0A">
              <w:t>судоустрій</w:t>
            </w:r>
            <w:proofErr w:type="spellEnd"/>
            <w:r w:rsidRPr="00796A0A">
              <w:t xml:space="preserve"> і статус </w:t>
            </w:r>
            <w:proofErr w:type="spellStart"/>
            <w:r w:rsidRPr="00796A0A">
              <w:t>суддів</w:t>
            </w:r>
            <w:proofErr w:type="spellEnd"/>
            <w:r w:rsidRPr="00796A0A">
              <w:t>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Інструкція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діловодства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місцевих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апеляційних</w:t>
            </w:r>
            <w:proofErr w:type="spellEnd"/>
            <w:r w:rsidRPr="00265E81">
              <w:t xml:space="preserve"> судах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порядок </w:t>
            </w:r>
            <w:proofErr w:type="spellStart"/>
            <w:r w:rsidRPr="00265E81">
              <w:t>користування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автоматизованою</w:t>
            </w:r>
            <w:proofErr w:type="spellEnd"/>
            <w:r w:rsidRPr="00265E81">
              <w:t xml:space="preserve"> системою </w:t>
            </w:r>
            <w:proofErr w:type="spellStart"/>
            <w:r w:rsidRPr="00265E81">
              <w:t>документообігу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lastRenderedPageBreak/>
              <w:t>Інструкцію</w:t>
            </w:r>
            <w:proofErr w:type="spellEnd"/>
            <w:r w:rsidRPr="00265E81">
              <w:t xml:space="preserve"> про порядок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технічними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засобами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фіксування</w:t>
            </w:r>
            <w:proofErr w:type="spellEnd"/>
            <w:r w:rsidRPr="00265E81">
              <w:t xml:space="preserve"> судового </w:t>
            </w:r>
            <w:proofErr w:type="spellStart"/>
            <w:r w:rsidRPr="00265E81">
              <w:t>процесу</w:t>
            </w:r>
            <w:proofErr w:type="spellEnd"/>
            <w:r w:rsidRPr="00265E81">
              <w:t xml:space="preserve"> (судового </w:t>
            </w:r>
            <w:proofErr w:type="spellStart"/>
            <w:r w:rsidRPr="00265E81">
              <w:t>засідання</w:t>
            </w:r>
            <w:proofErr w:type="spellEnd"/>
            <w:r w:rsidRPr="00265E81">
              <w:t>)</w:t>
            </w: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0B68EA"/>
    <w:rsid w:val="001E1F14"/>
    <w:rsid w:val="00252F46"/>
    <w:rsid w:val="00265E81"/>
    <w:rsid w:val="0027287B"/>
    <w:rsid w:val="002E4D98"/>
    <w:rsid w:val="00320D8E"/>
    <w:rsid w:val="00392540"/>
    <w:rsid w:val="00545CCE"/>
    <w:rsid w:val="00616E56"/>
    <w:rsid w:val="006C78C4"/>
    <w:rsid w:val="006F3507"/>
    <w:rsid w:val="00746ECC"/>
    <w:rsid w:val="00774BE7"/>
    <w:rsid w:val="00796A0A"/>
    <w:rsid w:val="008669E5"/>
    <w:rsid w:val="008C6F15"/>
    <w:rsid w:val="008C7457"/>
    <w:rsid w:val="00924C41"/>
    <w:rsid w:val="00935CE7"/>
    <w:rsid w:val="00966F51"/>
    <w:rsid w:val="009720A5"/>
    <w:rsid w:val="00990A39"/>
    <w:rsid w:val="009A7F80"/>
    <w:rsid w:val="009B48CC"/>
    <w:rsid w:val="009B5BE8"/>
    <w:rsid w:val="009D4328"/>
    <w:rsid w:val="00A54FAB"/>
    <w:rsid w:val="00A86EED"/>
    <w:rsid w:val="00A96198"/>
    <w:rsid w:val="00AD7E58"/>
    <w:rsid w:val="00AE13F8"/>
    <w:rsid w:val="00AF2698"/>
    <w:rsid w:val="00BB32B3"/>
    <w:rsid w:val="00CC2717"/>
    <w:rsid w:val="00CD52D6"/>
    <w:rsid w:val="00D830D9"/>
    <w:rsid w:val="00DA1D9E"/>
    <w:rsid w:val="00DF4F31"/>
    <w:rsid w:val="00E06290"/>
    <w:rsid w:val="00EA6580"/>
    <w:rsid w:val="00EC447B"/>
    <w:rsid w:val="00F02F79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50E5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3894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Головата Надія Василівна</cp:lastModifiedBy>
  <cp:revision>31</cp:revision>
  <cp:lastPrinted>2021-03-17T13:53:00Z</cp:lastPrinted>
  <dcterms:created xsi:type="dcterms:W3CDTF">2021-03-17T09:46:00Z</dcterms:created>
  <dcterms:modified xsi:type="dcterms:W3CDTF">2021-03-30T06:31:00Z</dcterms:modified>
</cp:coreProperties>
</file>